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65E0" w14:textId="77777777" w:rsidR="00B01669" w:rsidRPr="00CE4978" w:rsidRDefault="00B01669" w:rsidP="00B016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E4978">
        <w:rPr>
          <w:rFonts w:ascii="Times New Roman" w:hAnsi="Times New Roman" w:cs="Times New Roman"/>
          <w:sz w:val="24"/>
          <w:szCs w:val="24"/>
        </w:rPr>
        <w:t>Till hyresgäster i kommunens</w:t>
      </w:r>
    </w:p>
    <w:p w14:paraId="3F432A87" w14:textId="77777777" w:rsidR="00B01669" w:rsidRPr="00CE4978" w:rsidRDefault="00B01669" w:rsidP="00B01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978">
        <w:rPr>
          <w:rFonts w:ascii="Times New Roman" w:hAnsi="Times New Roman" w:cs="Times New Roman"/>
          <w:sz w:val="24"/>
          <w:szCs w:val="24"/>
        </w:rPr>
        <w:tab/>
      </w:r>
      <w:r w:rsidRPr="00CE49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978">
        <w:rPr>
          <w:rFonts w:ascii="Times New Roman" w:hAnsi="Times New Roman" w:cs="Times New Roman"/>
          <w:sz w:val="24"/>
          <w:szCs w:val="24"/>
        </w:rPr>
        <w:t>Särskilda boenden.</w:t>
      </w:r>
    </w:p>
    <w:p w14:paraId="0EC3431B" w14:textId="77777777" w:rsidR="00B01669" w:rsidRDefault="00B01669" w:rsidP="00B01669">
      <w:pPr>
        <w:rPr>
          <w:rFonts w:ascii="Times New Roman" w:hAnsi="Times New Roman" w:cs="Times New Roman"/>
          <w:b/>
          <w:sz w:val="24"/>
          <w:szCs w:val="24"/>
        </w:rPr>
      </w:pPr>
    </w:p>
    <w:p w14:paraId="73F20FEA" w14:textId="0EC2BD9E" w:rsidR="00B01669" w:rsidRPr="00CE4978" w:rsidRDefault="00107AC4" w:rsidP="00B01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Hyreshöjning 202</w:t>
      </w:r>
      <w:r w:rsidR="0012258B">
        <w:rPr>
          <w:rFonts w:ascii="Times New Roman" w:hAnsi="Times New Roman" w:cs="Times New Roman"/>
          <w:b/>
          <w:sz w:val="24"/>
          <w:szCs w:val="24"/>
        </w:rPr>
        <w:t>2</w:t>
      </w:r>
    </w:p>
    <w:p w14:paraId="28596B30" w14:textId="77777777" w:rsidR="00156F25" w:rsidRDefault="00156F25" w:rsidP="00156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Enligt Kommunfullmäktiges beslut § 136/16, kommer hyreshöjningar i de särskilda boendena i kommunen följa Torsås Bostads AB:s hyreshöjningar kontinuerligt</w:t>
      </w:r>
    </w:p>
    <w:p w14:paraId="0971C890" w14:textId="77777777" w:rsidR="00B01669" w:rsidRDefault="00B01669" w:rsidP="00B016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7F1A9" w14:textId="3FF0FECA" w:rsidR="00B01669" w:rsidRDefault="005546B4" w:rsidP="00B016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hyra </w:t>
      </w:r>
      <w:r w:rsidR="00E81098">
        <w:rPr>
          <w:rFonts w:ascii="Times New Roman" w:hAnsi="Times New Roman" w:cs="Times New Roman"/>
          <w:sz w:val="24"/>
          <w:szCs w:val="24"/>
        </w:rPr>
        <w:t>förblir oförändrad 202</w:t>
      </w:r>
      <w:r w:rsidR="00994990">
        <w:rPr>
          <w:rFonts w:ascii="Times New Roman" w:hAnsi="Times New Roman" w:cs="Times New Roman"/>
          <w:sz w:val="24"/>
          <w:szCs w:val="24"/>
        </w:rPr>
        <w:t>2</w:t>
      </w:r>
    </w:p>
    <w:p w14:paraId="306EC6D3" w14:textId="77777777" w:rsidR="004C5A5E" w:rsidRDefault="004C5A5E" w:rsidP="00B016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360"/>
        <w:gridCol w:w="1480"/>
        <w:gridCol w:w="1517"/>
        <w:gridCol w:w="943"/>
      </w:tblGrid>
      <w:tr w:rsidR="004C5A5E" w:rsidRPr="004C5A5E" w14:paraId="7D2454F5" w14:textId="77777777" w:rsidTr="00313A9A">
        <w:trPr>
          <w:trHeight w:val="300"/>
        </w:trPr>
        <w:tc>
          <w:tcPr>
            <w:tcW w:w="188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24CE4BD2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Bostäder</w:t>
            </w:r>
          </w:p>
        </w:tc>
        <w:tc>
          <w:tcPr>
            <w:tcW w:w="136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93F6F7D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Kvadrat</w:t>
            </w:r>
          </w:p>
        </w:tc>
        <w:tc>
          <w:tcPr>
            <w:tcW w:w="148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31A4CABB" w14:textId="520F45D3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20</w:t>
            </w:r>
            <w:r w:rsidR="00994990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21</w:t>
            </w:r>
          </w:p>
        </w:tc>
        <w:tc>
          <w:tcPr>
            <w:tcW w:w="15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1A0223E1" w14:textId="660D080D" w:rsidR="004C5A5E" w:rsidRPr="004C5A5E" w:rsidRDefault="004C5A5E" w:rsidP="00107A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 xml:space="preserve">          </w:t>
            </w:r>
            <w:r w:rsidR="00107AC4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20</w:t>
            </w:r>
            <w:r w:rsidR="00313A9A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2</w:t>
            </w:r>
            <w:r w:rsidR="00994990"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  <w:t>2</w:t>
            </w:r>
          </w:p>
        </w:tc>
        <w:tc>
          <w:tcPr>
            <w:tcW w:w="94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5F272E33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</w:p>
        </w:tc>
      </w:tr>
      <w:tr w:rsidR="004C5A5E" w:rsidRPr="004C5A5E" w14:paraId="19EE3030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5DC3390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1BB2FF32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F4D996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84C20B8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B8FE26C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1EEB89E5" w14:textId="77777777" w:rsidTr="00313A9A">
        <w:trPr>
          <w:trHeight w:val="37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AF1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  <w:t>Mariahemmet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80A8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9674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FDC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E2A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22224D2C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D15DA9A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Emmagården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5A701990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30,1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919E6E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4 461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27791C5" w14:textId="77777777" w:rsidR="004C5A5E" w:rsidRPr="004C5A5E" w:rsidRDefault="007A0F15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4461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01FE1B2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0E20800D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3DC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Linden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9E5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33,1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BB5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4 794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06DD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4794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2CA5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1DB5F258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FDD187D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30013BDE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29,5 m²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A627FED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4 394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D27D7D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4394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9250ECE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2CD2ABBD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708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4F8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28,4 m²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F762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4 271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8C9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4271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AD13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7C0C1590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1332A0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6089EA1B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5E700AD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11B1C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3DE23B2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42BBEF2A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476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Magnolia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9C83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24,3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AFE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3 815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E19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3815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E63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5A0B5187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ED2FA32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Solrosen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3ED52522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24,3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1FE6272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3 815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71361C4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3815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D9A7870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43E40511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9728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Moliljan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E80B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24,3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A6B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3 815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0E57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3815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06C8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576B0E12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DA331EC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Malvan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18BEEEEC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24,3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E09272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3 815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55F20E5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3815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D7D9FDE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7070BF2A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D49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Violen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BDB4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20,0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8778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3 332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E1B6" w14:textId="77777777" w:rsidR="004C5A5E" w:rsidRPr="004C5A5E" w:rsidRDefault="00105187" w:rsidP="00571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3332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B1CD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65B78C09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062A937" w14:textId="77777777" w:rsidR="004C5A5E" w:rsidRPr="004C5A5E" w:rsidRDefault="00156F25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+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54027FAA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E8910B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B114F9A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227A37C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0582B621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13C1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AED3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BB15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3B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1170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25508481" w14:textId="77777777" w:rsidTr="00313A9A">
        <w:trPr>
          <w:trHeight w:val="37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291CB8F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  <w:t>Solgläntan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2E3AEFF0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75B5"/>
                <w:sz w:val="28"/>
                <w:szCs w:val="28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6138C81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701F1D3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0A71801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7C09BE4C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0DCD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Tusenskönan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34A5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47,2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4DC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4 601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9ECC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4601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DEC4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5EEE9431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CD65330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Deladlägenhet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6542095D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27,1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16E2614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2 641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B79951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2641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381A047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6ACFB44B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F1D3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      -  "  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CCD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20,1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6639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1 960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475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1960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A16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4AA7530B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D4481C1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      -  "  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0832A128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34,8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5D3F6B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3 967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56B514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3967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6D857F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128BA7AD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BB38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0E3D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B29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4EF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71C6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41BDC848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AC5D4F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Grönkulla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798461C8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47,2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A83DCD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4 601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F57BCF5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4601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3F8FAE4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510ED14A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48A0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D20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34,8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DE02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3 967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674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3967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1747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2C8240EE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07FDD33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0455B4CA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70552E4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49E6CB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27DE26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5A5E" w:rsidRPr="004C5A5E" w14:paraId="708853C6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BE4F" w14:textId="77777777" w:rsidR="004C5A5E" w:rsidRPr="004C5A5E" w:rsidRDefault="004C5A5E" w:rsidP="004C5A5E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Solrosen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99FF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47,2 m²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6F14" w14:textId="77777777" w:rsidR="004C5A5E" w:rsidRPr="004C5A5E" w:rsidRDefault="00107AC4" w:rsidP="00907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4 601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8E3" w14:textId="77777777" w:rsidR="004C5A5E" w:rsidRPr="004C5A5E" w:rsidRDefault="00105187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4601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3F0C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  <w:tr w:rsidR="004C5A5E" w:rsidRPr="004C5A5E" w14:paraId="3DF9676A" w14:textId="77777777" w:rsidTr="00313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DDEBF7" w:fill="DDEBF7"/>
            <w:noWrap/>
            <w:vAlign w:val="bottom"/>
            <w:hideMark/>
          </w:tcPr>
          <w:p w14:paraId="3902B769" w14:textId="77777777" w:rsidR="004C5A5E" w:rsidRPr="004C5A5E" w:rsidRDefault="004C5A5E" w:rsidP="004C5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DDEBF7" w:fill="DDEBF7"/>
            <w:noWrap/>
            <w:vAlign w:val="center"/>
            <w:hideMark/>
          </w:tcPr>
          <w:p w14:paraId="384300F3" w14:textId="77777777" w:rsidR="004C5A5E" w:rsidRPr="004C5A5E" w:rsidRDefault="004C5A5E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34,8 m²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DDEBF7" w:fill="DDEBF7"/>
            <w:noWrap/>
            <w:vAlign w:val="bottom"/>
            <w:hideMark/>
          </w:tcPr>
          <w:p w14:paraId="7D8840E4" w14:textId="77777777" w:rsidR="004C5A5E" w:rsidRPr="004C5A5E" w:rsidRDefault="00107AC4" w:rsidP="004C5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>3 967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 kr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DDEBF7" w:fill="DDEBF7"/>
            <w:noWrap/>
            <w:vAlign w:val="bottom"/>
            <w:hideMark/>
          </w:tcPr>
          <w:p w14:paraId="6F2E6A21" w14:textId="77777777" w:rsidR="004C5A5E" w:rsidRPr="004C5A5E" w:rsidRDefault="00105187" w:rsidP="00571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2F75B5"/>
                <w:lang w:eastAsia="sv-SE"/>
              </w:rPr>
              <w:t xml:space="preserve">3967 </w:t>
            </w:r>
            <w:r w:rsidR="004C5A5E" w:rsidRPr="004C5A5E">
              <w:rPr>
                <w:rFonts w:ascii="Calibri" w:eastAsia="Times New Roman" w:hAnsi="Calibri" w:cs="Times New Roman"/>
                <w:color w:val="2F75B5"/>
                <w:lang w:eastAsia="sv-SE"/>
              </w:rPr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DDEBF7" w:fill="DDEBF7"/>
            <w:noWrap/>
            <w:vAlign w:val="bottom"/>
            <w:hideMark/>
          </w:tcPr>
          <w:p w14:paraId="62AA6534" w14:textId="77777777" w:rsidR="004C5A5E" w:rsidRPr="004C5A5E" w:rsidRDefault="004C5A5E" w:rsidP="004C5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2F75B5"/>
                <w:lang w:eastAsia="sv-SE"/>
              </w:rPr>
            </w:pPr>
          </w:p>
        </w:tc>
      </w:tr>
    </w:tbl>
    <w:p w14:paraId="24011A16" w14:textId="77777777" w:rsidR="000B2E73" w:rsidRDefault="000B2E73" w:rsidP="00B016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289E5" w14:textId="77777777" w:rsidR="005546B4" w:rsidRDefault="005546B4" w:rsidP="00B016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80F01B" w14:textId="77777777" w:rsidR="00135AC6" w:rsidRPr="00B01669" w:rsidRDefault="00B01669" w:rsidP="00B016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SOCIALNÄMNDEN</w:t>
      </w:r>
    </w:p>
    <w:sectPr w:rsidR="00135AC6" w:rsidRPr="00B01669" w:rsidSect="00B01669">
      <w:headerReference w:type="default" r:id="rId6"/>
      <w:footerReference w:type="default" r:id="rId7"/>
      <w:pgSz w:w="11906" w:h="16838"/>
      <w:pgMar w:top="1417" w:right="1417" w:bottom="1417" w:left="1417" w:header="708" w:footer="340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4F52" w14:textId="77777777" w:rsidR="00B01669" w:rsidRDefault="00B01669">
      <w:r>
        <w:separator/>
      </w:r>
    </w:p>
  </w:endnote>
  <w:endnote w:type="continuationSeparator" w:id="0">
    <w:p w14:paraId="2BA602FD" w14:textId="77777777" w:rsidR="00B01669" w:rsidRDefault="00B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8D85" w14:textId="77777777" w:rsidR="00F6233E" w:rsidRPr="004C3F1F" w:rsidRDefault="00F6233E" w:rsidP="00F6233E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>Torsås kommun, Allfargatan 26, Box 503, 385 25 Torsås</w:t>
    </w:r>
  </w:p>
  <w:p w14:paraId="0219FA91" w14:textId="77777777" w:rsidR="00FD62AC" w:rsidRPr="00F6233E" w:rsidRDefault="00F6233E" w:rsidP="00F6233E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www.torsas.se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, e-post: </w:t>
    </w:r>
    <w:hyperlink r:id="rId2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info@torsas.se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>, telefon: 0486-331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1473" w14:textId="77777777" w:rsidR="00B01669" w:rsidRDefault="00B01669">
      <w:r>
        <w:separator/>
      </w:r>
    </w:p>
  </w:footnote>
  <w:footnote w:type="continuationSeparator" w:id="0">
    <w:p w14:paraId="541C7BF5" w14:textId="77777777" w:rsidR="00B01669" w:rsidRDefault="00B0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3454"/>
      <w:gridCol w:w="1918"/>
      <w:gridCol w:w="1917"/>
      <w:gridCol w:w="1925"/>
    </w:tblGrid>
    <w:tr w:rsidR="00D915DF" w:rsidRPr="00C512CC" w14:paraId="3DF9D144" w14:textId="77777777" w:rsidTr="00B01669">
      <w:trPr>
        <w:cantSplit/>
        <w:trHeight w:hRule="exact" w:val="430"/>
      </w:trPr>
      <w:tc>
        <w:tcPr>
          <w:tcW w:w="345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53CC150E" w14:textId="77777777" w:rsidR="00C35132" w:rsidRPr="00C512CC" w:rsidRDefault="002B4F5C" w:rsidP="007F1AA0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C512CC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drawing>
              <wp:inline distT="0" distB="0" distL="0" distR="0" wp14:anchorId="6353068A" wp14:editId="032EC842">
                <wp:extent cx="995459" cy="478800"/>
                <wp:effectExtent l="0" t="0" r="0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cialnämnd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459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5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5750AF1F" w14:textId="77777777" w:rsidR="00C35132" w:rsidRPr="00C512CC" w:rsidRDefault="00C35132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4D5B2DD3" w14:textId="77777777" w:rsidR="00C35132" w:rsidRPr="00C512CC" w:rsidRDefault="00C35132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D915DF" w:rsidRPr="00C512CC" w14:paraId="06D31547" w14:textId="77777777" w:rsidTr="00B01669">
      <w:trPr>
        <w:cantSplit/>
        <w:trHeight w:hRule="exact" w:val="696"/>
      </w:trPr>
      <w:tc>
        <w:tcPr>
          <w:tcW w:w="3454" w:type="dxa"/>
          <w:vMerge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33DE00D6" w14:textId="77777777" w:rsidR="00C35132" w:rsidRPr="00C512CC" w:rsidRDefault="00C35132" w:rsidP="007F1AA0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8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66D2D121" w14:textId="77777777" w:rsidR="00C35132" w:rsidRPr="00C512CC" w:rsidRDefault="00C35132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C512CC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Datum</w:t>
          </w:r>
        </w:p>
        <w:p w14:paraId="40ADD274" w14:textId="5EFF3E28" w:rsidR="00C35132" w:rsidRPr="00C512CC" w:rsidRDefault="001B5A29" w:rsidP="007F1AA0">
          <w:pPr>
            <w:pStyle w:val="Sidhuvud"/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t>2022</w:t>
          </w: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14:paraId="676F8275" w14:textId="77777777" w:rsidR="00C35132" w:rsidRDefault="00C35132" w:rsidP="00B01669">
          <w:pPr>
            <w:spacing w:after="0"/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C512CC">
            <w:rPr>
              <w:rFonts w:ascii="Garamond" w:hAnsi="Garamond"/>
              <w:color w:val="A6A6A6" w:themeColor="background1" w:themeShade="A6"/>
              <w:sz w:val="18"/>
              <w:szCs w:val="18"/>
            </w:rPr>
            <w:t>Dnr</w:t>
          </w:r>
        </w:p>
        <w:p w14:paraId="3BECA5EF" w14:textId="77777777" w:rsidR="005546B4" w:rsidRPr="00C512CC" w:rsidRDefault="005546B4" w:rsidP="00B01669">
          <w:pPr>
            <w:spacing w:after="0"/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</w:p>
        <w:p w14:paraId="00A69D17" w14:textId="77777777" w:rsidR="00C35132" w:rsidRPr="00C512CC" w:rsidRDefault="005546B4" w:rsidP="00B01669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17/SN034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12E537FA" w14:textId="77777777" w:rsidR="00C35132" w:rsidRPr="00C512CC" w:rsidRDefault="00C35132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C512CC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 </w:t>
          </w:r>
        </w:p>
        <w:p w14:paraId="7EA12345" w14:textId="77777777" w:rsidR="00C35132" w:rsidRPr="00C512CC" w:rsidRDefault="00C35132" w:rsidP="007F1AA0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C512CC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C512CC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C512CC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 w:rsidR="00107AC4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1</w:t>
          </w:r>
          <w:r w:rsidRPr="00C512CC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  <w:tr w:rsidR="00D915DF" w:rsidRPr="00C512CC" w14:paraId="3CF85D9F" w14:textId="77777777" w:rsidTr="00B01669">
      <w:trPr>
        <w:cantSplit/>
        <w:trHeight w:hRule="exact" w:val="430"/>
      </w:trPr>
      <w:tc>
        <w:tcPr>
          <w:tcW w:w="3454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6AE402C2" w14:textId="77777777" w:rsidR="00D915DF" w:rsidRPr="00C512CC" w:rsidRDefault="00D915DF" w:rsidP="007F1AA0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8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484AAEA2" w14:textId="77777777" w:rsidR="00D915DF" w:rsidRPr="00C512CC" w:rsidRDefault="00D915DF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14:paraId="741A54E4" w14:textId="77777777" w:rsidR="00D915DF" w:rsidRPr="00C512CC" w:rsidRDefault="00D915DF" w:rsidP="007F1AA0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31379914" w14:textId="77777777" w:rsidR="00D915DF" w:rsidRPr="00C512CC" w:rsidRDefault="00D915DF" w:rsidP="007F1AA0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</w:tbl>
  <w:p w14:paraId="1F2C6FEF" w14:textId="77777777" w:rsidR="00C35132" w:rsidRPr="00D915DF" w:rsidRDefault="00C35132" w:rsidP="007A6C43">
    <w:pPr>
      <w:pStyle w:val="Sidhuvud"/>
      <w:tabs>
        <w:tab w:val="clear" w:pos="4536"/>
        <w:tab w:val="clear" w:pos="9072"/>
      </w:tabs>
      <w:rPr>
        <w:rFonts w:ascii="Garamond" w:hAnsi="Garamond"/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69"/>
    <w:rsid w:val="0000585D"/>
    <w:rsid w:val="0003506A"/>
    <w:rsid w:val="0007297D"/>
    <w:rsid w:val="00081B29"/>
    <w:rsid w:val="00084060"/>
    <w:rsid w:val="000925D0"/>
    <w:rsid w:val="000B2E73"/>
    <w:rsid w:val="000B6144"/>
    <w:rsid w:val="000D7DC8"/>
    <w:rsid w:val="000E05D1"/>
    <w:rsid w:val="00105187"/>
    <w:rsid w:val="00107AC4"/>
    <w:rsid w:val="0012258B"/>
    <w:rsid w:val="00133F1E"/>
    <w:rsid w:val="00135AC6"/>
    <w:rsid w:val="001432C3"/>
    <w:rsid w:val="00156F25"/>
    <w:rsid w:val="00177DF9"/>
    <w:rsid w:val="00196AAB"/>
    <w:rsid w:val="001B5A29"/>
    <w:rsid w:val="001C016D"/>
    <w:rsid w:val="001C3B74"/>
    <w:rsid w:val="001D401B"/>
    <w:rsid w:val="00222E2C"/>
    <w:rsid w:val="00251D2C"/>
    <w:rsid w:val="00254AD2"/>
    <w:rsid w:val="002954A7"/>
    <w:rsid w:val="002A6BBF"/>
    <w:rsid w:val="002B4F5C"/>
    <w:rsid w:val="002D039A"/>
    <w:rsid w:val="002D790E"/>
    <w:rsid w:val="00305FC2"/>
    <w:rsid w:val="00313A9A"/>
    <w:rsid w:val="003171A0"/>
    <w:rsid w:val="00325569"/>
    <w:rsid w:val="00325DBB"/>
    <w:rsid w:val="00326D7B"/>
    <w:rsid w:val="00393AB2"/>
    <w:rsid w:val="00397610"/>
    <w:rsid w:val="003E2C2E"/>
    <w:rsid w:val="00447AEC"/>
    <w:rsid w:val="004647BF"/>
    <w:rsid w:val="004708F7"/>
    <w:rsid w:val="004B2145"/>
    <w:rsid w:val="004C3F1F"/>
    <w:rsid w:val="004C5A5E"/>
    <w:rsid w:val="004C7FF9"/>
    <w:rsid w:val="005262F5"/>
    <w:rsid w:val="00554365"/>
    <w:rsid w:val="005546B4"/>
    <w:rsid w:val="00571899"/>
    <w:rsid w:val="00590284"/>
    <w:rsid w:val="006237A0"/>
    <w:rsid w:val="00630996"/>
    <w:rsid w:val="00637F95"/>
    <w:rsid w:val="00661C07"/>
    <w:rsid w:val="0068624E"/>
    <w:rsid w:val="00692DAB"/>
    <w:rsid w:val="006934DC"/>
    <w:rsid w:val="00695F9D"/>
    <w:rsid w:val="006A49BE"/>
    <w:rsid w:val="006C58EF"/>
    <w:rsid w:val="006C6BAB"/>
    <w:rsid w:val="006D1A86"/>
    <w:rsid w:val="00705D1E"/>
    <w:rsid w:val="007A0F15"/>
    <w:rsid w:val="007A6C43"/>
    <w:rsid w:val="007A724B"/>
    <w:rsid w:val="007E23E1"/>
    <w:rsid w:val="007E3F56"/>
    <w:rsid w:val="007F1AC5"/>
    <w:rsid w:val="00807617"/>
    <w:rsid w:val="00820702"/>
    <w:rsid w:val="00856809"/>
    <w:rsid w:val="00894EC8"/>
    <w:rsid w:val="008C3ADB"/>
    <w:rsid w:val="008D5954"/>
    <w:rsid w:val="00907AE1"/>
    <w:rsid w:val="00910FB6"/>
    <w:rsid w:val="009142B6"/>
    <w:rsid w:val="0098166F"/>
    <w:rsid w:val="009823A2"/>
    <w:rsid w:val="00983061"/>
    <w:rsid w:val="00994990"/>
    <w:rsid w:val="00A21A68"/>
    <w:rsid w:val="00AB7B4D"/>
    <w:rsid w:val="00AC1CD6"/>
    <w:rsid w:val="00B01669"/>
    <w:rsid w:val="00B202BE"/>
    <w:rsid w:val="00B347DF"/>
    <w:rsid w:val="00B41F78"/>
    <w:rsid w:val="00B7224E"/>
    <w:rsid w:val="00B9120A"/>
    <w:rsid w:val="00B95AB5"/>
    <w:rsid w:val="00BD4D15"/>
    <w:rsid w:val="00BF2885"/>
    <w:rsid w:val="00C017D2"/>
    <w:rsid w:val="00C149EE"/>
    <w:rsid w:val="00C35132"/>
    <w:rsid w:val="00C512CC"/>
    <w:rsid w:val="00CB2DC0"/>
    <w:rsid w:val="00CD4BC4"/>
    <w:rsid w:val="00D904E7"/>
    <w:rsid w:val="00D915DF"/>
    <w:rsid w:val="00DD235F"/>
    <w:rsid w:val="00E046D1"/>
    <w:rsid w:val="00E81098"/>
    <w:rsid w:val="00F12685"/>
    <w:rsid w:val="00F14EDC"/>
    <w:rsid w:val="00F6233E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EBE2FB5"/>
  <w15:docId w15:val="{5B64072E-CAA3-4789-8248-7C9B65C4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66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171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71A0"/>
    <w:rPr>
      <w:rFonts w:ascii="Tahoma" w:hAnsi="Tahoma" w:cs="Tahoma"/>
      <w:sz w:val="16"/>
      <w:szCs w:val="16"/>
    </w:rPr>
  </w:style>
  <w:style w:type="paragraph" w:customStyle="1" w:styleId="RubrikArial">
    <w:name w:val="Rubrik Arial"/>
    <w:basedOn w:val="Normal"/>
    <w:link w:val="RubrikArialChar"/>
    <w:qFormat/>
    <w:rsid w:val="00135AC6"/>
    <w:pPr>
      <w:spacing w:after="120"/>
      <w:ind w:left="1701"/>
    </w:pPr>
    <w:rPr>
      <w:rFonts w:ascii="Arial" w:hAnsi="Arial" w:cs="Arial"/>
      <w:b/>
    </w:rPr>
  </w:style>
  <w:style w:type="paragraph" w:customStyle="1" w:styleId="BrdtextGaramond">
    <w:name w:val="Brödtext Garamond"/>
    <w:basedOn w:val="Normal"/>
    <w:link w:val="BrdtextGaramondChar"/>
    <w:qFormat/>
    <w:rsid w:val="00135AC6"/>
    <w:pPr>
      <w:ind w:left="1701"/>
    </w:pPr>
    <w:rPr>
      <w:rFonts w:ascii="Garamond" w:hAnsi="Garamond"/>
    </w:rPr>
  </w:style>
  <w:style w:type="character" w:customStyle="1" w:styleId="RubrikArialChar">
    <w:name w:val="Rubrik Arial Char"/>
    <w:basedOn w:val="Standardstycketeckensnitt"/>
    <w:link w:val="RubrikArial"/>
    <w:rsid w:val="00135AC6"/>
    <w:rPr>
      <w:rFonts w:ascii="Arial" w:hAnsi="Arial" w:cs="Arial"/>
      <w:b/>
      <w:sz w:val="24"/>
      <w:szCs w:val="24"/>
    </w:rPr>
  </w:style>
  <w:style w:type="character" w:customStyle="1" w:styleId="BrdtextGaramondChar">
    <w:name w:val="Brödtext Garamond Char"/>
    <w:basedOn w:val="Standardstycketeckensnitt"/>
    <w:link w:val="BrdtextGaramond"/>
    <w:rsid w:val="00135AC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A\MALLAR\Brev-%20dokument-%20och%20faxmallar\Socialf&#246;rvaltningen\brevmall_socialnam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brevmall_socialnamnd</Template>
  <TotalTime>4</TotalTime>
  <Pages>1</Pages>
  <Words>176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Torsås Kommun</Company>
  <LinksUpToDate>false</LinksUpToDate>
  <CharactersWithSpaces>1020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Lindau</dc:creator>
  <cp:keywords/>
  <dc:description/>
  <cp:lastModifiedBy>Gill Lindau</cp:lastModifiedBy>
  <cp:revision>6</cp:revision>
  <cp:lastPrinted>2018-12-12T07:57:00Z</cp:lastPrinted>
  <dcterms:created xsi:type="dcterms:W3CDTF">2022-05-18T04:14:00Z</dcterms:created>
  <dcterms:modified xsi:type="dcterms:W3CDTF">2022-05-18T04:18:00Z</dcterms:modified>
</cp:coreProperties>
</file>